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0E" w:rsidRPr="00530AC3" w:rsidRDefault="00775E0E" w:rsidP="00775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530AC3">
        <w:rPr>
          <w:rFonts w:ascii="Times New Roman" w:hAnsi="Times New Roman" w:cs="Times New Roman"/>
          <w:u w:val="single"/>
        </w:rPr>
        <w:t>Chapter 16 – The Citric Acid Cycle</w:t>
      </w: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 Production of Acetyl-CoA</w:t>
      </w:r>
    </w:p>
    <w:p w:rsidR="00775E0E" w:rsidRPr="006C4C5F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Pyruvate is Oxidized to Acetyl-CoA and CO</w:t>
      </w:r>
      <w:r w:rsidRPr="00324354">
        <w:rPr>
          <w:rFonts w:ascii="Times New Roman" w:hAnsi="Times New Roman" w:cs="Times New Roman"/>
          <w:vertAlign w:val="subscript"/>
        </w:rPr>
        <w:t>2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Pyruvate Dehydrogenase Complex Employs Five Coenzymes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Pyruvate Dehydrogenase Complex Consists of Three Distinct Enzymes </w:t>
      </w:r>
    </w:p>
    <w:p w:rsidR="00775E0E" w:rsidRPr="00324354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Substrate Channeling, Intermediates Never Leave the Enzyme Surface</w:t>
      </w:r>
    </w:p>
    <w:p w:rsidR="00775E0E" w:rsidRPr="00324354" w:rsidRDefault="00775E0E" w:rsidP="00775E0E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16.2 Reactions of the Citric Acid Cycle </w:t>
      </w:r>
    </w:p>
    <w:p w:rsidR="00775E0E" w:rsidRPr="006C4C5F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C4C5F">
        <w:rPr>
          <w:rFonts w:ascii="Times New Roman" w:hAnsi="Times New Roman" w:cs="Times New Roman"/>
        </w:rPr>
        <w:t>The following sub-sections are important: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Sequence of Reactions in the Citric Acid Cycle Makes Chemical Sense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Citric Acid Cycle Had Eight Steps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Energy of Oxidation in the Cycle is Efficiently Conserved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Citric Acid Cycle Components are Important Biosynthetic Intermediates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Anaplerotic</w:t>
      </w:r>
      <w:proofErr w:type="spellEnd"/>
      <w:r>
        <w:rPr>
          <w:rFonts w:ascii="Times New Roman" w:hAnsi="Times New Roman" w:cs="Times New Roman"/>
        </w:rPr>
        <w:t xml:space="preserve"> Reactions Replenish Citric Acid Cycle Intermediates </w:t>
      </w:r>
    </w:p>
    <w:p w:rsidR="00775E0E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Biotin in Pyruvate Carboxylase Carries CO</w:t>
      </w:r>
      <w:r w:rsidRPr="0032435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Groups</w:t>
      </w: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16.3 Regulation of the Citric Acid Cycle </w:t>
      </w:r>
    </w:p>
    <w:p w:rsidR="00775E0E" w:rsidRDefault="00775E0E" w:rsidP="00775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775E0E" w:rsidRPr="001271C2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71C2">
        <w:rPr>
          <w:rFonts w:ascii="Times New Roman" w:hAnsi="Times New Roman" w:cs="Times New Roman"/>
        </w:rPr>
        <w:t>The Introduction</w:t>
      </w:r>
    </w:p>
    <w:p w:rsidR="00B8631B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71C2">
        <w:rPr>
          <w:rFonts w:ascii="Times New Roman" w:hAnsi="Times New Roman" w:cs="Times New Roman"/>
        </w:rPr>
        <w:t xml:space="preserve">Production of </w:t>
      </w:r>
      <w:proofErr w:type="spellStart"/>
      <w:r w:rsidRPr="001271C2">
        <w:rPr>
          <w:rFonts w:ascii="Times New Roman" w:hAnsi="Times New Roman" w:cs="Times New Roman"/>
        </w:rPr>
        <w:t>Acetyl-Coa</w:t>
      </w:r>
      <w:proofErr w:type="spellEnd"/>
      <w:r w:rsidRPr="001271C2">
        <w:rPr>
          <w:rFonts w:ascii="Times New Roman" w:hAnsi="Times New Roman" w:cs="Times New Roman"/>
        </w:rPr>
        <w:t xml:space="preserve"> by the Pyruvate Dehydrogenase Complex is Regulated by Allosteric and Covalent Mechanisms </w:t>
      </w:r>
    </w:p>
    <w:p w:rsidR="009E634A" w:rsidRPr="00B8631B" w:rsidRDefault="00775E0E" w:rsidP="00775E0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B8631B">
        <w:rPr>
          <w:rFonts w:ascii="Times New Roman" w:hAnsi="Times New Roman" w:cs="Times New Roman"/>
        </w:rPr>
        <w:t>The Citric Acid Cycle is Regulated at its Three Exergonic Steps</w:t>
      </w:r>
    </w:p>
    <w:sectPr w:rsidR="009E634A" w:rsidRPr="00B8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E"/>
    <w:rsid w:val="00775E0E"/>
    <w:rsid w:val="009E634A"/>
    <w:rsid w:val="00B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8D62"/>
  <w15:chartTrackingRefBased/>
  <w15:docId w15:val="{98DBA1A0-CE87-47AD-8DBD-21F51EB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E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2021-08-02T17:22:00Z</dcterms:created>
  <dcterms:modified xsi:type="dcterms:W3CDTF">2021-08-06T16:30:00Z</dcterms:modified>
</cp:coreProperties>
</file>