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bookmarkStart w:name="CHE 450 Policies and Grading" w:id="1"/>
      <w:bookmarkEnd w:id="1"/>
      <w:r>
        <w:rPr>
          <w:b w:val="0"/>
        </w:rPr>
      </w:r>
      <w:r>
        <w:rPr/>
        <w:t>Biochemistry I, CHE 450</w:t>
      </w:r>
    </w:p>
    <w:p>
      <w:pPr>
        <w:pStyle w:val="BodyText"/>
        <w:spacing w:before="16"/>
        <w:ind w:left="4317" w:right="4303"/>
        <w:jc w:val="center"/>
      </w:pPr>
      <w:r>
        <w:rPr/>
        <w:t>MW 1:00-2:10 PM (Section -30)</w:t>
      </w:r>
    </w:p>
    <w:p>
      <w:pPr>
        <w:pStyle w:val="BodyText"/>
        <w:spacing w:before="11"/>
        <w:rPr>
          <w:sz w:val="22"/>
        </w:rPr>
      </w:pPr>
    </w:p>
    <w:p>
      <w:pPr>
        <w:spacing w:before="90"/>
        <w:ind w:left="120" w:right="0" w:firstLine="0"/>
        <w:jc w:val="left"/>
        <w:rPr>
          <w:sz w:val="24"/>
        </w:rPr>
      </w:pPr>
      <w:r>
        <w:rPr>
          <w:b/>
          <w:sz w:val="24"/>
        </w:rPr>
        <w:t>Instructor: </w:t>
      </w:r>
      <w:r>
        <w:rPr>
          <w:sz w:val="24"/>
        </w:rPr>
        <w:t>Dr. Noel Sturm, NSM D-323</w:t>
      </w:r>
    </w:p>
    <w:p>
      <w:pPr>
        <w:pStyle w:val="BodyText"/>
        <w:rPr>
          <w:sz w:val="26"/>
        </w:rPr>
      </w:pPr>
    </w:p>
    <w:p>
      <w:pPr>
        <w:pStyle w:val="BodyText"/>
        <w:spacing w:before="2"/>
        <w:rPr>
          <w:sz w:val="32"/>
        </w:rPr>
      </w:pPr>
    </w:p>
    <w:p>
      <w:pPr>
        <w:spacing w:before="0"/>
        <w:ind w:left="120" w:right="0" w:firstLine="0"/>
        <w:jc w:val="left"/>
        <w:rPr>
          <w:sz w:val="24"/>
        </w:rPr>
      </w:pPr>
      <w:r>
        <w:rPr>
          <w:b/>
          <w:sz w:val="24"/>
        </w:rPr>
        <w:t>E-Mail: </w:t>
      </w:r>
      <w:hyperlink r:id="rId7">
        <w:r>
          <w:rPr>
            <w:sz w:val="24"/>
          </w:rPr>
          <w:t>nsturm@csudh.edu</w:t>
        </w:r>
      </w:hyperlink>
    </w:p>
    <w:p>
      <w:pPr>
        <w:pStyle w:val="BodyText"/>
        <w:spacing w:before="10"/>
        <w:rPr>
          <w:sz w:val="26"/>
        </w:rPr>
      </w:pPr>
    </w:p>
    <w:p>
      <w:pPr>
        <w:spacing w:before="0"/>
        <w:ind w:left="120" w:right="0" w:firstLine="0"/>
        <w:jc w:val="left"/>
        <w:rPr>
          <w:b/>
          <w:sz w:val="24"/>
        </w:rPr>
      </w:pPr>
      <w:r>
        <w:rPr>
          <w:b/>
          <w:sz w:val="24"/>
        </w:rPr>
        <w:t>Course Organization and Policies:</w:t>
      </w:r>
    </w:p>
    <w:p>
      <w:pPr>
        <w:pStyle w:val="ListParagraph"/>
        <w:numPr>
          <w:ilvl w:val="0"/>
          <w:numId w:val="1"/>
        </w:numPr>
        <w:tabs>
          <w:tab w:pos="391" w:val="left" w:leader="none"/>
        </w:tabs>
        <w:spacing w:line="273" w:lineRule="auto" w:before="39" w:after="0"/>
        <w:ind w:left="120" w:right="114" w:firstLine="0"/>
        <w:jc w:val="left"/>
        <w:rPr>
          <w:sz w:val="24"/>
        </w:rPr>
      </w:pPr>
      <w:r>
        <w:rPr>
          <w:b/>
          <w:sz w:val="24"/>
        </w:rPr>
        <w:t>Prerequisites: </w:t>
      </w:r>
      <w:r>
        <w:rPr>
          <w:sz w:val="24"/>
        </w:rPr>
        <w:t>(a) General Chemistry (1 year) </w:t>
      </w:r>
      <w:r>
        <w:rPr>
          <w:b/>
          <w:sz w:val="24"/>
        </w:rPr>
        <w:t>and </w:t>
      </w:r>
      <w:r>
        <w:rPr>
          <w:sz w:val="24"/>
        </w:rPr>
        <w:t>(b) Organic Chemistry w/ Laboratory (1 year or a 1 semester survey course w/ lab) </w:t>
      </w:r>
      <w:r>
        <w:rPr>
          <w:b/>
          <w:sz w:val="24"/>
        </w:rPr>
        <w:t>and </w:t>
      </w:r>
      <w:r>
        <w:rPr>
          <w:sz w:val="24"/>
        </w:rPr>
        <w:t>(c) Quantitative Analysis (may NOT be taken concurrently w/ Biochemistry</w:t>
      </w:r>
      <w:r>
        <w:rPr>
          <w:spacing w:val="-18"/>
          <w:sz w:val="24"/>
        </w:rPr>
        <w:t> </w:t>
      </w:r>
      <w:r>
        <w:rPr>
          <w:sz w:val="24"/>
        </w:rPr>
        <w:t>450).</w:t>
      </w:r>
    </w:p>
    <w:p>
      <w:pPr>
        <w:pStyle w:val="BodyText"/>
        <w:spacing w:before="3"/>
        <w:rPr>
          <w:sz w:val="26"/>
        </w:rPr>
      </w:pPr>
    </w:p>
    <w:p>
      <w:pPr>
        <w:pStyle w:val="ListParagraph"/>
        <w:numPr>
          <w:ilvl w:val="0"/>
          <w:numId w:val="1"/>
        </w:numPr>
        <w:tabs>
          <w:tab w:pos="361" w:val="left" w:leader="none"/>
        </w:tabs>
        <w:spacing w:line="240" w:lineRule="auto" w:before="0" w:after="0"/>
        <w:ind w:left="360" w:right="0" w:hanging="241"/>
        <w:jc w:val="left"/>
        <w:rPr>
          <w:sz w:val="24"/>
        </w:rPr>
      </w:pPr>
      <w:r>
        <w:rPr>
          <w:b/>
          <w:sz w:val="24"/>
        </w:rPr>
        <w:t>REQUIRED Text: </w:t>
      </w:r>
      <w:r>
        <w:rPr>
          <w:sz w:val="24"/>
        </w:rPr>
        <w:t>Lehninger: Principles of Biochemistry, 7</w:t>
      </w:r>
      <w:r>
        <w:rPr>
          <w:position w:val="9"/>
          <w:sz w:val="19"/>
        </w:rPr>
        <w:t>th </w:t>
      </w:r>
      <w:r>
        <w:rPr>
          <w:sz w:val="24"/>
        </w:rPr>
        <w:t>Edition; Authors: Nelson and</w:t>
      </w:r>
      <w:r>
        <w:rPr>
          <w:spacing w:val="2"/>
          <w:sz w:val="24"/>
        </w:rPr>
        <w:t> </w:t>
      </w:r>
      <w:r>
        <w:rPr>
          <w:sz w:val="24"/>
        </w:rPr>
        <w:t>Cox</w:t>
      </w:r>
    </w:p>
    <w:p>
      <w:pPr>
        <w:pStyle w:val="Heading1"/>
        <w:spacing w:line="235" w:lineRule="auto" w:before="269"/>
        <w:ind w:right="394"/>
      </w:pPr>
      <w:r>
        <w:rPr>
          <w:color w:val="FF0000"/>
        </w:rPr>
        <w:t>We have pulled out if the Immediate Access Program so you will be responsible for getting your own text book either print or on-line version.</w:t>
      </w:r>
    </w:p>
    <w:p>
      <w:pPr>
        <w:pStyle w:val="BodyText"/>
        <w:spacing w:before="4"/>
        <w:rPr>
          <w:b/>
          <w:sz w:val="20"/>
        </w:rPr>
      </w:pPr>
    </w:p>
    <w:p>
      <w:pPr>
        <w:spacing w:before="0"/>
        <w:ind w:left="120" w:right="0" w:firstLine="0"/>
        <w:jc w:val="left"/>
        <w:rPr>
          <w:b/>
          <w:sz w:val="24"/>
        </w:rPr>
      </w:pPr>
      <w:r>
        <w:rPr>
          <w:b/>
          <w:color w:val="FF0000"/>
          <w:sz w:val="24"/>
        </w:rPr>
        <w:t>Please do this ASAP so that you can begin reading and preparing for the semester.</w:t>
      </w:r>
    </w:p>
    <w:p>
      <w:pPr>
        <w:pStyle w:val="BodyText"/>
        <w:spacing w:before="4"/>
        <w:rPr>
          <w:b/>
          <w:sz w:val="20"/>
        </w:rPr>
      </w:pPr>
    </w:p>
    <w:p>
      <w:pPr>
        <w:spacing w:before="0"/>
        <w:ind w:left="120" w:right="0" w:firstLine="0"/>
        <w:jc w:val="left"/>
        <w:rPr>
          <w:b/>
          <w:sz w:val="24"/>
        </w:rPr>
      </w:pPr>
      <w:r>
        <w:rPr>
          <w:sz w:val="24"/>
        </w:rPr>
        <w:t>Some students have recommended: </w:t>
      </w:r>
      <w:hyperlink r:id="rId8">
        <w:r>
          <w:rPr>
            <w:b/>
            <w:color w:val="0000ED"/>
            <w:sz w:val="24"/>
            <w:u w:val="single" w:color="0000ED"/>
          </w:rPr>
          <w:t>https://www.chegg.com/</w:t>
        </w:r>
      </w:hyperlink>
    </w:p>
    <w:p>
      <w:pPr>
        <w:pStyle w:val="BodyText"/>
        <w:rPr>
          <w:b/>
          <w:sz w:val="20"/>
        </w:rPr>
      </w:pPr>
    </w:p>
    <w:p>
      <w:pPr>
        <w:pStyle w:val="BodyText"/>
        <w:rPr>
          <w:b/>
          <w:sz w:val="16"/>
        </w:rPr>
      </w:pPr>
    </w:p>
    <w:p>
      <w:pPr>
        <w:pStyle w:val="Heading1"/>
        <w:spacing w:before="90"/>
      </w:pPr>
      <w:r>
        <w:rPr>
          <w:color w:val="FF0000"/>
        </w:rPr>
        <w:t>You must purchase the Sapling Learning access with your text book!!!</w:t>
      </w:r>
    </w:p>
    <w:p>
      <w:pPr>
        <w:pStyle w:val="BodyText"/>
        <w:spacing w:before="4"/>
        <w:rPr>
          <w:b/>
          <w:sz w:val="20"/>
        </w:rPr>
      </w:pPr>
    </w:p>
    <w:p>
      <w:pPr>
        <w:pStyle w:val="BodyText"/>
        <w:spacing w:line="444" w:lineRule="auto"/>
        <w:ind w:left="120" w:right="395"/>
      </w:pPr>
      <w:r>
        <w:rPr/>
        <w:t>Here is a link from the publisher, Macmillan, that provides ISBN information for the text book and Sapling Learning. </w:t>
      </w:r>
      <w:hyperlink r:id="rId9">
        <w:r>
          <w:rPr>
            <w:color w:val="0000ED"/>
            <w:u w:val="single" w:color="0000ED"/>
          </w:rPr>
          <w:t>Lehninger and Sapling</w:t>
        </w:r>
      </w:hyperlink>
    </w:p>
    <w:p>
      <w:pPr>
        <w:pStyle w:val="BodyText"/>
        <w:spacing w:before="9"/>
        <w:rPr>
          <w:sz w:val="20"/>
        </w:rPr>
      </w:pPr>
    </w:p>
    <w:p>
      <w:pPr>
        <w:pStyle w:val="ListParagraph"/>
        <w:numPr>
          <w:ilvl w:val="0"/>
          <w:numId w:val="1"/>
        </w:numPr>
        <w:tabs>
          <w:tab w:pos="360" w:val="left" w:leader="none"/>
        </w:tabs>
        <w:spacing w:line="273" w:lineRule="auto" w:before="90" w:after="0"/>
        <w:ind w:left="120" w:right="114" w:firstLine="0"/>
        <w:jc w:val="both"/>
        <w:rPr>
          <w:sz w:val="24"/>
        </w:rPr>
      </w:pPr>
      <w:r>
        <w:rPr>
          <w:b/>
          <w:sz w:val="24"/>
        </w:rPr>
        <w:t>Lecture Notes and Power Point Slides: </w:t>
      </w:r>
      <w:r>
        <w:rPr>
          <w:sz w:val="24"/>
        </w:rPr>
        <w:t>The lecture notes are available and power point slides, will be available on lecture days, on-line, arranged via lecture topic, at: </w:t>
      </w:r>
      <w:hyperlink r:id="rId10">
        <w:r>
          <w:rPr>
            <w:sz w:val="24"/>
          </w:rPr>
          <w:t>http://www2.csudh.edu/nsturm/.</w:t>
        </w:r>
      </w:hyperlink>
      <w:r>
        <w:rPr>
          <w:sz w:val="24"/>
        </w:rPr>
        <w:t> Examination questions will be derived directly from lecture notes, power point slides and Sapling learning</w:t>
      </w:r>
      <w:r>
        <w:rPr>
          <w:spacing w:val="-4"/>
          <w:sz w:val="24"/>
        </w:rPr>
        <w:t> </w:t>
      </w:r>
      <w:r>
        <w:rPr>
          <w:sz w:val="24"/>
        </w:rPr>
        <w:t>homework.</w:t>
      </w:r>
    </w:p>
    <w:p>
      <w:pPr>
        <w:pStyle w:val="BodyText"/>
        <w:spacing w:before="6"/>
        <w:rPr>
          <w:sz w:val="26"/>
        </w:rPr>
      </w:pPr>
    </w:p>
    <w:p>
      <w:pPr>
        <w:pStyle w:val="ListParagraph"/>
        <w:numPr>
          <w:ilvl w:val="0"/>
          <w:numId w:val="1"/>
        </w:numPr>
        <w:tabs>
          <w:tab w:pos="420" w:val="left" w:leader="none"/>
        </w:tabs>
        <w:spacing w:line="235" w:lineRule="auto" w:before="1" w:after="0"/>
        <w:ind w:left="120" w:right="105" w:firstLine="0"/>
        <w:jc w:val="both"/>
        <w:rPr>
          <w:sz w:val="24"/>
        </w:rPr>
      </w:pPr>
      <w:r>
        <w:rPr>
          <w:b/>
          <w:sz w:val="24"/>
        </w:rPr>
        <w:t>On-Line Sessions: </w:t>
      </w:r>
      <w:r>
        <w:rPr>
          <w:sz w:val="24"/>
        </w:rPr>
        <w:t>We will meet on-line every Monday and Wednesday from 1:00 PM until 2:10PM using Blackboard Collaborate Ultra. We will discuss lecture material, do </w:t>
      </w:r>
      <w:r>
        <w:rPr>
          <w:i/>
          <w:sz w:val="24"/>
        </w:rPr>
        <w:t>quick thinks </w:t>
      </w:r>
      <w:r>
        <w:rPr>
          <w:sz w:val="24"/>
        </w:rPr>
        <w:t>and answer questions. It is very important that you attend all of the on-line sessions in order to succeed in this course. You must have a working computer, reliable internet connectivity and browser is an important requirement, please use Firefox 2.0.x or</w:t>
      </w:r>
      <w:r>
        <w:rPr>
          <w:spacing w:val="-8"/>
          <w:sz w:val="24"/>
        </w:rPr>
        <w:t> </w:t>
      </w:r>
      <w:r>
        <w:rPr>
          <w:sz w:val="24"/>
        </w:rPr>
        <w:t>higher.</w:t>
      </w:r>
    </w:p>
    <w:p>
      <w:pPr>
        <w:pStyle w:val="BodyText"/>
        <w:spacing w:before="3"/>
        <w:rPr>
          <w:sz w:val="23"/>
        </w:rPr>
      </w:pPr>
    </w:p>
    <w:p>
      <w:pPr>
        <w:pStyle w:val="BodyText"/>
        <w:spacing w:line="235" w:lineRule="auto"/>
        <w:ind w:left="120" w:right="3055"/>
      </w:pPr>
      <w:r>
        <w:rPr/>
        <w:t>Instructions for Blackboard Collaborate Ultra: </w:t>
      </w:r>
      <w:hyperlink r:id="rId11">
        <w:r>
          <w:rPr>
            <w:color w:val="0000ED"/>
            <w:u w:val="single" w:color="0000ED"/>
          </w:rPr>
          <w:t>https://help.blackboard.com/Collaborate/Ultra/Moderator/Get_Started/About_Collaborate</w:t>
        </w:r>
      </w:hyperlink>
    </w:p>
    <w:p>
      <w:pPr>
        <w:pStyle w:val="BodyText"/>
        <w:spacing w:before="3"/>
        <w:rPr>
          <w:sz w:val="15"/>
        </w:rPr>
      </w:pPr>
    </w:p>
    <w:p>
      <w:pPr>
        <w:pStyle w:val="BodyText"/>
        <w:spacing w:line="273" w:lineRule="exact" w:before="90"/>
        <w:ind w:left="120"/>
      </w:pPr>
      <w:r>
        <w:rPr/>
        <w:t>In Blackboard:</w:t>
      </w:r>
    </w:p>
    <w:p>
      <w:pPr>
        <w:pStyle w:val="BodyText"/>
        <w:spacing w:line="270" w:lineRule="exact"/>
        <w:ind w:left="120"/>
      </w:pPr>
      <w:r>
        <w:rPr/>
        <w:t>&lt;Tools</w:t>
      </w:r>
    </w:p>
    <w:p>
      <w:pPr>
        <w:pStyle w:val="BodyText"/>
        <w:spacing w:line="270" w:lineRule="exact"/>
        <w:ind w:left="120"/>
      </w:pPr>
      <w:r>
        <w:rPr/>
        <w:t>&lt;Blackboard Collaborate Ultra</w:t>
      </w:r>
    </w:p>
    <w:p>
      <w:pPr>
        <w:pStyle w:val="BodyText"/>
        <w:spacing w:line="270" w:lineRule="exact"/>
        <w:ind w:left="120"/>
      </w:pPr>
      <w:r>
        <w:rPr/>
        <w:t>&lt;Click-on the</w:t>
      </w:r>
      <w:r>
        <w:rPr>
          <w:spacing w:val="-9"/>
        </w:rPr>
        <w:t> </w:t>
      </w:r>
      <w:r>
        <w:rPr/>
        <w:t>"Session"</w:t>
      </w:r>
    </w:p>
    <w:p>
      <w:pPr>
        <w:pStyle w:val="BodyText"/>
        <w:spacing w:line="273" w:lineRule="exact"/>
        <w:ind w:left="120"/>
      </w:pPr>
      <w:r>
        <w:rPr/>
        <w:t>&lt;Click-on "Join</w:t>
      </w:r>
      <w:r>
        <w:rPr>
          <w:spacing w:val="-5"/>
        </w:rPr>
        <w:t> </w:t>
      </w:r>
      <w:r>
        <w:rPr/>
        <w:t>Room"</w:t>
      </w:r>
    </w:p>
    <w:p>
      <w:pPr>
        <w:pStyle w:val="BodyText"/>
        <w:spacing w:before="3"/>
      </w:pPr>
    </w:p>
    <w:p>
      <w:pPr>
        <w:pStyle w:val="ListParagraph"/>
        <w:numPr>
          <w:ilvl w:val="0"/>
          <w:numId w:val="1"/>
        </w:numPr>
        <w:tabs>
          <w:tab w:pos="301" w:val="left" w:leader="none"/>
        </w:tabs>
        <w:spacing w:line="273" w:lineRule="auto" w:before="0" w:after="0"/>
        <w:ind w:left="120" w:right="106" w:firstLine="0"/>
        <w:jc w:val="both"/>
        <w:rPr>
          <w:sz w:val="24"/>
        </w:rPr>
      </w:pPr>
      <w:r>
        <w:rPr>
          <w:b/>
          <w:sz w:val="24"/>
        </w:rPr>
        <w:t>Examinations: </w:t>
      </w:r>
      <w:r>
        <w:rPr>
          <w:sz w:val="24"/>
        </w:rPr>
        <w:t>There will be four multiple choice examinations (see syllabus for specific dates) each worth 100 points. Absolutely </w:t>
      </w:r>
      <w:r>
        <w:rPr>
          <w:b/>
          <w:sz w:val="24"/>
        </w:rPr>
        <w:t>NO </w:t>
      </w:r>
      <w:r>
        <w:rPr>
          <w:sz w:val="24"/>
        </w:rPr>
        <w:t>make-up exams will be given. All examinations will be on-line through Bb Collaborate Ultra using the Respondus Lockdown Browser.</w:t>
      </w:r>
    </w:p>
    <w:p>
      <w:pPr>
        <w:spacing w:after="0" w:line="273" w:lineRule="auto"/>
        <w:jc w:val="both"/>
        <w:rPr>
          <w:sz w:val="24"/>
        </w:rPr>
        <w:sectPr>
          <w:headerReference w:type="default" r:id="rId5"/>
          <w:footerReference w:type="default" r:id="rId6"/>
          <w:type w:val="continuous"/>
          <w:pgSz w:w="12240" w:h="15840"/>
          <w:pgMar w:header="99" w:footer="60" w:top="420" w:bottom="260" w:left="200" w:right="220"/>
        </w:sectPr>
      </w:pPr>
    </w:p>
    <w:p>
      <w:pPr>
        <w:pStyle w:val="ListParagraph"/>
        <w:numPr>
          <w:ilvl w:val="0"/>
          <w:numId w:val="1"/>
        </w:numPr>
        <w:tabs>
          <w:tab w:pos="375" w:val="left" w:leader="none"/>
        </w:tabs>
        <w:spacing w:line="249" w:lineRule="auto" w:before="95" w:after="0"/>
        <w:ind w:left="120" w:right="107" w:firstLine="0"/>
        <w:jc w:val="left"/>
        <w:rPr>
          <w:sz w:val="24"/>
        </w:rPr>
      </w:pPr>
      <w:r>
        <w:rPr>
          <w:b/>
          <w:sz w:val="24"/>
        </w:rPr>
        <w:t>Final Exam: </w:t>
      </w:r>
      <w:r>
        <w:rPr>
          <w:color w:val="FF0000"/>
          <w:sz w:val="24"/>
        </w:rPr>
        <w:t>NOW OPTIONAL. </w:t>
      </w:r>
      <w:r>
        <w:rPr>
          <w:sz w:val="24"/>
        </w:rPr>
        <w:t>The final exam (100 pts), will be on-line through Bb Collaborate Ultra using the Respondus Lockdown Browser and is scheduleed for Monday, December 7</w:t>
      </w:r>
      <w:r>
        <w:rPr>
          <w:position w:val="9"/>
          <w:sz w:val="19"/>
        </w:rPr>
        <w:t>th</w:t>
      </w:r>
      <w:r>
        <w:rPr>
          <w:sz w:val="24"/>
        </w:rPr>
        <w:t>, 2020,</w:t>
      </w:r>
      <w:r>
        <w:rPr>
          <w:spacing w:val="-8"/>
          <w:sz w:val="24"/>
        </w:rPr>
        <w:t> </w:t>
      </w:r>
      <w:r>
        <w:rPr>
          <w:sz w:val="24"/>
        </w:rPr>
        <w:t>1:00PM-3:00PM.</w:t>
      </w:r>
    </w:p>
    <w:p>
      <w:pPr>
        <w:pStyle w:val="BodyText"/>
        <w:spacing w:before="1"/>
        <w:rPr>
          <w:sz w:val="27"/>
        </w:rPr>
      </w:pPr>
    </w:p>
    <w:p>
      <w:pPr>
        <w:pStyle w:val="ListParagraph"/>
        <w:numPr>
          <w:ilvl w:val="0"/>
          <w:numId w:val="1"/>
        </w:numPr>
        <w:tabs>
          <w:tab w:pos="360" w:val="left" w:leader="none"/>
        </w:tabs>
        <w:spacing w:line="240" w:lineRule="auto" w:before="0" w:after="0"/>
        <w:ind w:left="359" w:right="0" w:hanging="241"/>
        <w:jc w:val="left"/>
        <w:rPr>
          <w:b/>
          <w:sz w:val="24"/>
        </w:rPr>
      </w:pPr>
      <w:r>
        <w:rPr>
          <w:b/>
          <w:sz w:val="24"/>
        </w:rPr>
        <w:t>Homework:</w:t>
      </w:r>
    </w:p>
    <w:p>
      <w:pPr>
        <w:pStyle w:val="BodyText"/>
        <w:spacing w:before="2"/>
        <w:rPr>
          <w:b/>
          <w:sz w:val="15"/>
        </w:rPr>
      </w:pPr>
    </w:p>
    <w:p>
      <w:pPr>
        <w:pStyle w:val="BodyText"/>
        <w:spacing w:line="273" w:lineRule="exact" w:before="90"/>
        <w:ind w:left="720"/>
      </w:pPr>
      <w:r>
        <w:rPr/>
        <w:pict>
          <v:group style="position:absolute;margin-left:34.375pt;margin-top:10.828125pt;width:3.75pt;height:3.75pt;mso-position-horizontal-relative:page;mso-position-vertical-relative:paragraph;z-index:15728640" coordorigin="688,217" coordsize="75,75">
            <v:shape style="position:absolute;left:695;top:224;width:60;height:60" coordorigin="695,224" coordsize="60,60" path="m725,224l704,232,695,254,704,277,725,284,746,277,755,254,746,232,725,224xe" filled="true" fillcolor="#000000" stroked="false">
              <v:path arrowok="t"/>
              <v:fill type="solid"/>
            </v:shape>
            <v:shape style="position:absolute;left:695;top:224;width:60;height:60" coordorigin="695,224" coordsize="60,60" path="m755,254l746,232,725,224,704,232,695,254,704,277,725,284,746,277,755,254xe" filled="false" stroked="true" strokeweight=".75pt" strokecolor="#000000">
              <v:path arrowok="t"/>
              <v:stroke dashstyle="solid"/>
            </v:shape>
            <w10:wrap type="none"/>
          </v:group>
        </w:pict>
      </w:r>
      <w:r>
        <w:rPr/>
        <w:t>Homework can be found in the "Assignments" link on Bb.</w:t>
      </w:r>
    </w:p>
    <w:p>
      <w:pPr>
        <w:pStyle w:val="BodyText"/>
        <w:spacing w:line="270" w:lineRule="exact"/>
        <w:ind w:left="720"/>
      </w:pPr>
      <w:r>
        <w:rPr/>
        <w:pict>
          <v:group style="position:absolute;margin-left:34.375pt;margin-top:6.178711pt;width:3.75pt;height:3.75pt;mso-position-horizontal-relative:page;mso-position-vertical-relative:paragraph;z-index:15729152" coordorigin="688,124" coordsize="75,75">
            <v:shape style="position:absolute;left:695;top:131;width:60;height:60" coordorigin="695,131" coordsize="60,60" path="m725,131l704,139,695,161,704,184,725,191,746,184,755,161,746,139,725,131xe" filled="true" fillcolor="#000000" stroked="false">
              <v:path arrowok="t"/>
              <v:fill type="solid"/>
            </v:shape>
            <v:shape style="position:absolute;left:695;top:131;width:60;height:60" coordorigin="695,131" coordsize="60,60" path="m755,161l746,139,725,131,704,139,695,161,704,184,725,191,746,184,755,161xe" filled="false" stroked="true" strokeweight=".75pt" strokecolor="#000000">
              <v:path arrowok="t"/>
              <v:stroke dashstyle="solid"/>
            </v:shape>
            <w10:wrap type="none"/>
          </v:group>
        </w:pict>
      </w:r>
      <w:r>
        <w:rPr/>
        <w:t>There are eleven, on-line, multiple choice homework assignments.</w:t>
      </w:r>
    </w:p>
    <w:p>
      <w:pPr>
        <w:pStyle w:val="BodyText"/>
        <w:spacing w:line="235" w:lineRule="auto" w:before="2"/>
        <w:ind w:left="720" w:right="1569"/>
      </w:pPr>
      <w:r>
        <w:rPr/>
        <w:pict>
          <v:group style="position:absolute;margin-left:34.375pt;margin-top:6.204062pt;width:3.75pt;height:3.75pt;mso-position-horizontal-relative:page;mso-position-vertical-relative:paragraph;z-index:15729664" coordorigin="688,124" coordsize="75,75">
            <v:shape style="position:absolute;left:695;top:131;width:60;height:60" coordorigin="695,132" coordsize="60,60" path="m725,132l704,139,695,162,704,184,725,192,746,184,755,162,746,139,725,132xe" filled="true" fillcolor="#000000" stroked="false">
              <v:path arrowok="t"/>
              <v:fill type="solid"/>
            </v:shape>
            <v:shape style="position:absolute;left:695;top:131;width:60;height:60" coordorigin="695,132" coordsize="60,60" path="m755,162l746,139,725,132,704,139,695,162,704,184,725,192,746,184,755,162xe" filled="false" stroked="true" strokeweight=".75pt" strokecolor="#000000">
              <v:path arrowok="t"/>
              <v:stroke dashstyle="solid"/>
            </v:shape>
            <w10:wrap type="none"/>
          </v:group>
        </w:pict>
      </w:r>
      <w:r>
        <w:rPr/>
        <w:pict>
          <v:group style="position:absolute;margin-left:34.375pt;margin-top:19.704063pt;width:3.75pt;height:3.75pt;mso-position-horizontal-relative:page;mso-position-vertical-relative:paragraph;z-index:15730176" coordorigin="688,394" coordsize="75,75">
            <v:shape style="position:absolute;left:695;top:401;width:60;height:60" coordorigin="695,402" coordsize="60,60" path="m725,402l704,409,695,432,704,454,725,462,746,454,755,432,746,409,725,402xe" filled="true" fillcolor="#000000" stroked="false">
              <v:path arrowok="t"/>
              <v:fill type="solid"/>
            </v:shape>
            <v:shape style="position:absolute;left:695;top:401;width:60;height:60" coordorigin="695,402" coordsize="60,60" path="m755,432l746,409,725,402,704,409,695,432,704,454,725,462,746,454,755,432xe" filled="false" stroked="true" strokeweight=".75pt" strokecolor="#000000">
              <v:path arrowok="t"/>
              <v:stroke dashstyle="solid"/>
            </v:shape>
            <w10:wrap type="none"/>
          </v:group>
        </w:pict>
      </w:r>
      <w:r>
        <w:rPr/>
        <w:t>The homework assignments are based on the readings from Lehninger: Principles of Biochemistry. The homework is a Sapling Learning assignment so you must be enrolled in Sapling. (See Above)</w:t>
      </w:r>
    </w:p>
    <w:p>
      <w:pPr>
        <w:pStyle w:val="BodyText"/>
        <w:spacing w:line="235" w:lineRule="auto"/>
        <w:ind w:left="720" w:right="416"/>
      </w:pPr>
      <w:r>
        <w:rPr/>
        <w:pict>
          <v:group style="position:absolute;margin-left:34.375pt;margin-top:6.104063pt;width:3.75pt;height:3.75pt;mso-position-horizontal-relative:page;mso-position-vertical-relative:paragraph;z-index:15730688" coordorigin="688,122" coordsize="75,75">
            <v:shape style="position:absolute;left:695;top:129;width:60;height:60" coordorigin="695,130" coordsize="60,60" path="m725,130l704,137,695,160,704,182,725,190,746,182,755,160,746,137,725,130xe" filled="true" fillcolor="#000000" stroked="false">
              <v:path arrowok="t"/>
              <v:fill type="solid"/>
            </v:shape>
            <v:shape style="position:absolute;left:695;top:129;width:60;height:60" coordorigin="695,130" coordsize="60,60" path="m755,160l746,137,725,130,704,137,695,160,704,182,725,190,746,182,755,160xe" filled="false" stroked="true" strokeweight=".75pt" strokecolor="#000000">
              <v:path arrowok="t"/>
              <v:stroke dashstyle="solid"/>
            </v:shape>
            <w10:wrap type="none"/>
          </v:group>
        </w:pict>
      </w:r>
      <w:r>
        <w:rPr/>
        <w:t>Each homework assignment has a specific due date and homework submitted after that date will not be graded. (See Syllabus)</w:t>
      </w:r>
    </w:p>
    <w:p>
      <w:pPr>
        <w:pStyle w:val="BodyText"/>
        <w:spacing w:line="271" w:lineRule="exact"/>
        <w:ind w:left="720"/>
      </w:pPr>
      <w:r>
        <w:rPr/>
        <w:pict>
          <v:group style="position:absolute;margin-left:34.375pt;margin-top:6.058359pt;width:3.75pt;height:3.75pt;mso-position-horizontal-relative:page;mso-position-vertical-relative:paragraph;z-index:15731200" coordorigin="688,121" coordsize="75,75">
            <v:shape style="position:absolute;left:695;top:128;width:60;height:60" coordorigin="695,129" coordsize="60,60" path="m725,129l704,136,695,159,704,181,725,189,746,181,755,159,746,136,725,129xe" filled="true" fillcolor="#000000" stroked="false">
              <v:path arrowok="t"/>
              <v:fill type="solid"/>
            </v:shape>
            <v:shape style="position:absolute;left:695;top:128;width:60;height:60" coordorigin="695,129" coordsize="60,60" path="m755,159l746,136,725,129,704,136,695,159,704,181,725,189,746,181,755,159xe" filled="false" stroked="true" strokeweight=".75pt" strokecolor="#000000">
              <v:path arrowok="t"/>
              <v:stroke dashstyle="solid"/>
            </v:shape>
            <w10:wrap type="none"/>
          </v:group>
        </w:pict>
      </w:r>
      <w:r>
        <w:rPr/>
        <w:t>Each homework assignment is worth 15 points for a total of 165 points towards your final course grade.</w:t>
      </w:r>
    </w:p>
    <w:p>
      <w:pPr>
        <w:pStyle w:val="BodyText"/>
        <w:spacing w:before="6"/>
        <w:rPr>
          <w:sz w:val="21"/>
        </w:rPr>
      </w:pPr>
    </w:p>
    <w:p>
      <w:pPr>
        <w:pStyle w:val="ListParagraph"/>
        <w:numPr>
          <w:ilvl w:val="0"/>
          <w:numId w:val="1"/>
        </w:numPr>
        <w:tabs>
          <w:tab w:pos="405" w:val="left" w:leader="none"/>
        </w:tabs>
        <w:spacing w:line="273" w:lineRule="auto" w:before="0" w:after="0"/>
        <w:ind w:left="120" w:right="105" w:firstLine="0"/>
        <w:jc w:val="both"/>
        <w:rPr>
          <w:sz w:val="24"/>
        </w:rPr>
      </w:pPr>
      <w:r>
        <w:rPr>
          <w:b/>
          <w:sz w:val="24"/>
        </w:rPr>
        <w:t>The Goal </w:t>
      </w:r>
      <w:r>
        <w:rPr>
          <w:sz w:val="24"/>
        </w:rPr>
        <w:t>of this course is to understand and outline Proteins, Enzymes, Vitamins, Membranes and all of the Carbohydrate Metabolic</w:t>
      </w:r>
      <w:r>
        <w:rPr>
          <w:spacing w:val="-2"/>
          <w:sz w:val="24"/>
        </w:rPr>
        <w:t> </w:t>
      </w:r>
      <w:r>
        <w:rPr>
          <w:sz w:val="24"/>
        </w:rPr>
        <w:t>Pathways.</w:t>
      </w:r>
    </w:p>
    <w:p>
      <w:pPr>
        <w:pStyle w:val="BodyText"/>
        <w:spacing w:before="5"/>
        <w:rPr>
          <w:sz w:val="27"/>
        </w:rPr>
      </w:pPr>
    </w:p>
    <w:p>
      <w:pPr>
        <w:pStyle w:val="ListParagraph"/>
        <w:numPr>
          <w:ilvl w:val="0"/>
          <w:numId w:val="1"/>
        </w:numPr>
        <w:tabs>
          <w:tab w:pos="375" w:val="left" w:leader="none"/>
        </w:tabs>
        <w:spacing w:line="273" w:lineRule="auto" w:before="0" w:after="0"/>
        <w:ind w:left="120" w:right="104" w:firstLine="0"/>
        <w:jc w:val="both"/>
        <w:rPr>
          <w:sz w:val="24"/>
        </w:rPr>
      </w:pPr>
      <w:r>
        <w:rPr>
          <w:b/>
          <w:sz w:val="24"/>
        </w:rPr>
        <w:t>Grading Criteria: </w:t>
      </w:r>
      <w:r>
        <w:rPr>
          <w:sz w:val="24"/>
        </w:rPr>
        <w:t>Letter grades are based on the following point distribution. Grades are criterion-referenced not norm-referenced; each student has an equal opportunity meet the criteria charted</w:t>
      </w:r>
      <w:r>
        <w:rPr>
          <w:spacing w:val="-4"/>
          <w:sz w:val="24"/>
        </w:rPr>
        <w:t> </w:t>
      </w:r>
      <w:r>
        <w:rPr>
          <w:sz w:val="24"/>
        </w:rPr>
        <w:t>below:</w:t>
      </w:r>
    </w:p>
    <w:p>
      <w:pPr>
        <w:pStyle w:val="BodyText"/>
        <w:spacing w:before="4" w:after="1"/>
        <w:rPr>
          <w:sz w:val="29"/>
        </w:rPr>
      </w:pPr>
    </w:p>
    <w:tbl>
      <w:tblPr>
        <w:tblW w:w="0" w:type="auto"/>
        <w:jc w:val="left"/>
        <w:tblInd w:w="3247" w:type="dxa"/>
        <w:tblBorders>
          <w:top w:val="double" w:sz="2" w:space="0" w:color="2C2C2C"/>
          <w:left w:val="double" w:sz="2" w:space="0" w:color="2C2C2C"/>
          <w:bottom w:val="double" w:sz="2" w:space="0" w:color="2C2C2C"/>
          <w:right w:val="double" w:sz="2" w:space="0" w:color="2C2C2C"/>
          <w:insideH w:val="double" w:sz="2" w:space="0" w:color="2C2C2C"/>
          <w:insideV w:val="double" w:sz="2" w:space="0" w:color="2C2C2C"/>
        </w:tblBorders>
        <w:tblLayout w:type="fixed"/>
        <w:tblCellMar>
          <w:top w:w="0" w:type="dxa"/>
          <w:left w:w="0" w:type="dxa"/>
          <w:bottom w:w="0" w:type="dxa"/>
          <w:right w:w="0" w:type="dxa"/>
        </w:tblCellMar>
        <w:tblLook w:val="01E0"/>
      </w:tblPr>
      <w:tblGrid>
        <w:gridCol w:w="2280"/>
        <w:gridCol w:w="3105"/>
      </w:tblGrid>
      <w:tr>
        <w:trPr>
          <w:trHeight w:val="315" w:hRule="atLeast"/>
        </w:trPr>
        <w:tc>
          <w:tcPr>
            <w:tcW w:w="2280" w:type="dxa"/>
          </w:tcPr>
          <w:p>
            <w:pPr>
              <w:pStyle w:val="TableParagraph"/>
              <w:spacing w:before="8"/>
              <w:ind w:right="0"/>
              <w:jc w:val="left"/>
              <w:rPr>
                <w:sz w:val="24"/>
              </w:rPr>
            </w:pPr>
            <w:r>
              <w:rPr>
                <w:sz w:val="24"/>
              </w:rPr>
              <w:t>Homework</w:t>
            </w:r>
          </w:p>
        </w:tc>
        <w:tc>
          <w:tcPr>
            <w:tcW w:w="3105" w:type="dxa"/>
            <w:tcBorders>
              <w:right w:val="double" w:sz="2" w:space="0" w:color="808080"/>
            </w:tcBorders>
          </w:tcPr>
          <w:p>
            <w:pPr>
              <w:pStyle w:val="TableParagraph"/>
              <w:spacing w:before="8"/>
              <w:ind w:right="0"/>
              <w:jc w:val="left"/>
              <w:rPr>
                <w:sz w:val="24"/>
              </w:rPr>
            </w:pPr>
            <w:r>
              <w:rPr>
                <w:sz w:val="24"/>
              </w:rPr>
              <w:t>165 pts</w:t>
            </w:r>
          </w:p>
        </w:tc>
      </w:tr>
      <w:tr>
        <w:trPr>
          <w:trHeight w:val="315" w:hRule="atLeast"/>
        </w:trPr>
        <w:tc>
          <w:tcPr>
            <w:tcW w:w="2280" w:type="dxa"/>
          </w:tcPr>
          <w:p>
            <w:pPr>
              <w:pStyle w:val="TableParagraph"/>
              <w:spacing w:before="8"/>
              <w:ind w:right="0"/>
              <w:jc w:val="left"/>
              <w:rPr>
                <w:sz w:val="24"/>
              </w:rPr>
            </w:pPr>
            <w:r>
              <w:rPr>
                <w:sz w:val="24"/>
              </w:rPr>
              <w:t>Exams</w:t>
            </w:r>
          </w:p>
        </w:tc>
        <w:tc>
          <w:tcPr>
            <w:tcW w:w="3105" w:type="dxa"/>
            <w:tcBorders>
              <w:right w:val="double" w:sz="2" w:space="0" w:color="808080"/>
            </w:tcBorders>
          </w:tcPr>
          <w:p>
            <w:pPr>
              <w:pStyle w:val="TableParagraph"/>
              <w:spacing w:before="8"/>
              <w:ind w:right="0"/>
              <w:jc w:val="left"/>
              <w:rPr>
                <w:sz w:val="24"/>
              </w:rPr>
            </w:pPr>
            <w:r>
              <w:rPr>
                <w:sz w:val="24"/>
              </w:rPr>
              <w:t>400 pts</w:t>
            </w:r>
          </w:p>
        </w:tc>
      </w:tr>
      <w:tr>
        <w:trPr>
          <w:trHeight w:val="315" w:hRule="atLeast"/>
        </w:trPr>
        <w:tc>
          <w:tcPr>
            <w:tcW w:w="2280" w:type="dxa"/>
          </w:tcPr>
          <w:p>
            <w:pPr>
              <w:pStyle w:val="TableParagraph"/>
              <w:spacing w:before="8"/>
              <w:ind w:right="0"/>
              <w:jc w:val="left"/>
              <w:rPr>
                <w:sz w:val="24"/>
              </w:rPr>
            </w:pPr>
            <w:r>
              <w:rPr>
                <w:sz w:val="24"/>
              </w:rPr>
              <w:t>Respondus Test</w:t>
            </w:r>
          </w:p>
        </w:tc>
        <w:tc>
          <w:tcPr>
            <w:tcW w:w="3105" w:type="dxa"/>
            <w:tcBorders>
              <w:right w:val="double" w:sz="2" w:space="0" w:color="808080"/>
            </w:tcBorders>
          </w:tcPr>
          <w:p>
            <w:pPr>
              <w:pStyle w:val="TableParagraph"/>
              <w:spacing w:before="8"/>
              <w:ind w:right="0"/>
              <w:jc w:val="left"/>
              <w:rPr>
                <w:sz w:val="24"/>
              </w:rPr>
            </w:pPr>
            <w:r>
              <w:rPr>
                <w:sz w:val="24"/>
              </w:rPr>
              <w:t>5 pts</w:t>
            </w:r>
          </w:p>
        </w:tc>
      </w:tr>
      <w:tr>
        <w:trPr>
          <w:trHeight w:val="315" w:hRule="atLeast"/>
        </w:trPr>
        <w:tc>
          <w:tcPr>
            <w:tcW w:w="2280" w:type="dxa"/>
            <w:tcBorders>
              <w:bottom w:val="double" w:sz="2" w:space="0" w:color="808080"/>
            </w:tcBorders>
          </w:tcPr>
          <w:p>
            <w:pPr>
              <w:pStyle w:val="TableParagraph"/>
              <w:spacing w:before="8"/>
              <w:ind w:right="0"/>
              <w:jc w:val="left"/>
              <w:rPr>
                <w:b/>
                <w:sz w:val="24"/>
              </w:rPr>
            </w:pPr>
            <w:r>
              <w:rPr>
                <w:b/>
                <w:sz w:val="24"/>
              </w:rPr>
              <w:t>Total</w:t>
            </w:r>
          </w:p>
        </w:tc>
        <w:tc>
          <w:tcPr>
            <w:tcW w:w="3105" w:type="dxa"/>
            <w:tcBorders>
              <w:bottom w:val="double" w:sz="2" w:space="0" w:color="808080"/>
              <w:right w:val="double" w:sz="2" w:space="0" w:color="808080"/>
            </w:tcBorders>
          </w:tcPr>
          <w:p>
            <w:pPr>
              <w:pStyle w:val="TableParagraph"/>
              <w:spacing w:before="8"/>
              <w:ind w:right="0"/>
              <w:jc w:val="left"/>
              <w:rPr>
                <w:b/>
                <w:sz w:val="24"/>
              </w:rPr>
            </w:pPr>
            <w:r>
              <w:rPr>
                <w:b/>
                <w:sz w:val="24"/>
              </w:rPr>
              <w:t>570 pts</w:t>
            </w:r>
          </w:p>
        </w:tc>
      </w:tr>
    </w:tbl>
    <w:p>
      <w:pPr>
        <w:pStyle w:val="BodyText"/>
        <w:rPr>
          <w:sz w:val="20"/>
        </w:rPr>
      </w:pPr>
    </w:p>
    <w:p>
      <w:pPr>
        <w:pStyle w:val="BodyText"/>
        <w:spacing w:before="2" w:after="1"/>
        <w:rPr>
          <w:sz w:val="10"/>
        </w:rPr>
      </w:pPr>
    </w:p>
    <w:tbl>
      <w:tblPr>
        <w:tblW w:w="0" w:type="auto"/>
        <w:jc w:val="left"/>
        <w:tblInd w:w="1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1"/>
        <w:gridCol w:w="2882"/>
        <w:gridCol w:w="2309"/>
        <w:gridCol w:w="2105"/>
      </w:tblGrid>
      <w:tr>
        <w:trPr>
          <w:trHeight w:val="290" w:hRule="atLeast"/>
        </w:trPr>
        <w:tc>
          <w:tcPr>
            <w:tcW w:w="1531" w:type="dxa"/>
          </w:tcPr>
          <w:p>
            <w:pPr>
              <w:pStyle w:val="TableParagraph"/>
              <w:spacing w:line="266" w:lineRule="exact" w:before="0"/>
              <w:ind w:left="31" w:right="806"/>
              <w:rPr>
                <w:b/>
                <w:sz w:val="24"/>
              </w:rPr>
            </w:pPr>
            <w:r>
              <w:rPr>
                <w:b/>
                <w:sz w:val="24"/>
              </w:rPr>
              <w:t>Grade</w:t>
            </w:r>
          </w:p>
        </w:tc>
        <w:tc>
          <w:tcPr>
            <w:tcW w:w="2882" w:type="dxa"/>
          </w:tcPr>
          <w:p>
            <w:pPr>
              <w:pStyle w:val="TableParagraph"/>
              <w:spacing w:line="266" w:lineRule="exact" w:before="0"/>
              <w:ind w:left="808"/>
              <w:rPr>
                <w:b/>
                <w:sz w:val="24"/>
              </w:rPr>
            </w:pPr>
            <w:r>
              <w:rPr>
                <w:b/>
                <w:sz w:val="24"/>
              </w:rPr>
              <w:t>Percentages</w:t>
            </w:r>
          </w:p>
        </w:tc>
        <w:tc>
          <w:tcPr>
            <w:tcW w:w="2309" w:type="dxa"/>
          </w:tcPr>
          <w:p>
            <w:pPr>
              <w:pStyle w:val="TableParagraph"/>
              <w:spacing w:line="266" w:lineRule="exact" w:before="0"/>
              <w:ind w:left="807"/>
              <w:rPr>
                <w:b/>
                <w:sz w:val="24"/>
              </w:rPr>
            </w:pPr>
            <w:r>
              <w:rPr>
                <w:b/>
                <w:sz w:val="24"/>
              </w:rPr>
              <w:t>Grade</w:t>
            </w:r>
          </w:p>
        </w:tc>
        <w:tc>
          <w:tcPr>
            <w:tcW w:w="2105" w:type="dxa"/>
          </w:tcPr>
          <w:p>
            <w:pPr>
              <w:pStyle w:val="TableParagraph"/>
              <w:spacing w:line="266" w:lineRule="exact" w:before="0"/>
              <w:ind w:left="806" w:right="32"/>
              <w:rPr>
                <w:b/>
                <w:sz w:val="24"/>
              </w:rPr>
            </w:pPr>
            <w:r>
              <w:rPr>
                <w:b/>
                <w:sz w:val="24"/>
              </w:rPr>
              <w:t>Percentages</w:t>
            </w:r>
          </w:p>
        </w:tc>
      </w:tr>
      <w:tr>
        <w:trPr>
          <w:trHeight w:val="314" w:hRule="atLeast"/>
        </w:trPr>
        <w:tc>
          <w:tcPr>
            <w:tcW w:w="1531" w:type="dxa"/>
          </w:tcPr>
          <w:p>
            <w:pPr>
              <w:pStyle w:val="TableParagraph"/>
              <w:ind w:left="0" w:right="775"/>
              <w:rPr>
                <w:sz w:val="24"/>
              </w:rPr>
            </w:pPr>
            <w:r>
              <w:rPr>
                <w:sz w:val="24"/>
              </w:rPr>
              <w:t>A</w:t>
            </w:r>
          </w:p>
        </w:tc>
        <w:tc>
          <w:tcPr>
            <w:tcW w:w="2882" w:type="dxa"/>
          </w:tcPr>
          <w:p>
            <w:pPr>
              <w:pStyle w:val="TableParagraph"/>
              <w:ind w:left="808"/>
              <w:rPr>
                <w:sz w:val="24"/>
              </w:rPr>
            </w:pPr>
            <w:r>
              <w:rPr>
                <w:sz w:val="24"/>
              </w:rPr>
              <w:t>100-91</w:t>
            </w:r>
          </w:p>
        </w:tc>
        <w:tc>
          <w:tcPr>
            <w:tcW w:w="2309" w:type="dxa"/>
          </w:tcPr>
          <w:p>
            <w:pPr>
              <w:pStyle w:val="TableParagraph"/>
              <w:ind w:left="807"/>
              <w:rPr>
                <w:sz w:val="24"/>
              </w:rPr>
            </w:pPr>
            <w:r>
              <w:rPr>
                <w:sz w:val="24"/>
              </w:rPr>
              <w:t>A-</w:t>
            </w:r>
          </w:p>
        </w:tc>
        <w:tc>
          <w:tcPr>
            <w:tcW w:w="2105" w:type="dxa"/>
          </w:tcPr>
          <w:p>
            <w:pPr>
              <w:pStyle w:val="TableParagraph"/>
              <w:ind w:left="806" w:right="32"/>
              <w:rPr>
                <w:sz w:val="24"/>
              </w:rPr>
            </w:pPr>
            <w:r>
              <w:rPr>
                <w:sz w:val="24"/>
              </w:rPr>
              <w:t>90-89</w:t>
            </w:r>
          </w:p>
        </w:tc>
      </w:tr>
      <w:tr>
        <w:trPr>
          <w:trHeight w:val="314" w:hRule="atLeast"/>
        </w:trPr>
        <w:tc>
          <w:tcPr>
            <w:tcW w:w="1531" w:type="dxa"/>
          </w:tcPr>
          <w:p>
            <w:pPr>
              <w:pStyle w:val="TableParagraph"/>
              <w:ind w:left="31" w:right="806"/>
              <w:rPr>
                <w:sz w:val="24"/>
              </w:rPr>
            </w:pPr>
            <w:r>
              <w:rPr>
                <w:sz w:val="24"/>
              </w:rPr>
              <w:t>B+</w:t>
            </w:r>
          </w:p>
        </w:tc>
        <w:tc>
          <w:tcPr>
            <w:tcW w:w="2882" w:type="dxa"/>
          </w:tcPr>
          <w:p>
            <w:pPr>
              <w:pStyle w:val="TableParagraph"/>
              <w:ind w:left="808"/>
              <w:rPr>
                <w:sz w:val="24"/>
              </w:rPr>
            </w:pPr>
            <w:r>
              <w:rPr>
                <w:sz w:val="24"/>
              </w:rPr>
              <w:t>88-87</w:t>
            </w:r>
          </w:p>
        </w:tc>
        <w:tc>
          <w:tcPr>
            <w:tcW w:w="2309" w:type="dxa"/>
          </w:tcPr>
          <w:p>
            <w:pPr>
              <w:pStyle w:val="TableParagraph"/>
              <w:ind w:left="0" w:right="1"/>
              <w:rPr>
                <w:sz w:val="24"/>
              </w:rPr>
            </w:pPr>
            <w:r>
              <w:rPr>
                <w:sz w:val="24"/>
              </w:rPr>
              <w:t>B</w:t>
            </w:r>
          </w:p>
        </w:tc>
        <w:tc>
          <w:tcPr>
            <w:tcW w:w="2105" w:type="dxa"/>
          </w:tcPr>
          <w:p>
            <w:pPr>
              <w:pStyle w:val="TableParagraph"/>
              <w:ind w:left="806" w:right="32"/>
              <w:rPr>
                <w:sz w:val="24"/>
              </w:rPr>
            </w:pPr>
            <w:r>
              <w:rPr>
                <w:sz w:val="24"/>
              </w:rPr>
              <w:t>86-81</w:t>
            </w:r>
          </w:p>
        </w:tc>
      </w:tr>
      <w:tr>
        <w:trPr>
          <w:trHeight w:val="314" w:hRule="atLeast"/>
        </w:trPr>
        <w:tc>
          <w:tcPr>
            <w:tcW w:w="1531" w:type="dxa"/>
          </w:tcPr>
          <w:p>
            <w:pPr>
              <w:pStyle w:val="TableParagraph"/>
              <w:ind w:left="31" w:right="806"/>
              <w:rPr>
                <w:sz w:val="24"/>
              </w:rPr>
            </w:pPr>
            <w:r>
              <w:rPr>
                <w:sz w:val="24"/>
              </w:rPr>
              <w:t>B-</w:t>
            </w:r>
          </w:p>
        </w:tc>
        <w:tc>
          <w:tcPr>
            <w:tcW w:w="2882" w:type="dxa"/>
          </w:tcPr>
          <w:p>
            <w:pPr>
              <w:pStyle w:val="TableParagraph"/>
              <w:ind w:left="808"/>
              <w:rPr>
                <w:sz w:val="24"/>
              </w:rPr>
            </w:pPr>
            <w:r>
              <w:rPr>
                <w:sz w:val="24"/>
              </w:rPr>
              <w:t>80-79</w:t>
            </w:r>
          </w:p>
        </w:tc>
        <w:tc>
          <w:tcPr>
            <w:tcW w:w="2309" w:type="dxa"/>
          </w:tcPr>
          <w:p>
            <w:pPr>
              <w:pStyle w:val="TableParagraph"/>
              <w:ind w:left="807"/>
              <w:rPr>
                <w:sz w:val="24"/>
              </w:rPr>
            </w:pPr>
            <w:r>
              <w:rPr>
                <w:sz w:val="24"/>
              </w:rPr>
              <w:t>C+</w:t>
            </w:r>
          </w:p>
        </w:tc>
        <w:tc>
          <w:tcPr>
            <w:tcW w:w="2105" w:type="dxa"/>
          </w:tcPr>
          <w:p>
            <w:pPr>
              <w:pStyle w:val="TableParagraph"/>
              <w:ind w:left="806" w:right="32"/>
              <w:rPr>
                <w:sz w:val="24"/>
              </w:rPr>
            </w:pPr>
            <w:r>
              <w:rPr>
                <w:sz w:val="24"/>
              </w:rPr>
              <w:t>78-77</w:t>
            </w:r>
          </w:p>
        </w:tc>
      </w:tr>
      <w:tr>
        <w:trPr>
          <w:trHeight w:val="314" w:hRule="atLeast"/>
        </w:trPr>
        <w:tc>
          <w:tcPr>
            <w:tcW w:w="1531" w:type="dxa"/>
          </w:tcPr>
          <w:p>
            <w:pPr>
              <w:pStyle w:val="TableParagraph"/>
              <w:ind w:left="0" w:right="775"/>
              <w:rPr>
                <w:sz w:val="24"/>
              </w:rPr>
            </w:pPr>
            <w:r>
              <w:rPr>
                <w:sz w:val="24"/>
              </w:rPr>
              <w:t>C</w:t>
            </w:r>
          </w:p>
        </w:tc>
        <w:tc>
          <w:tcPr>
            <w:tcW w:w="2882" w:type="dxa"/>
          </w:tcPr>
          <w:p>
            <w:pPr>
              <w:pStyle w:val="TableParagraph"/>
              <w:ind w:left="808"/>
              <w:rPr>
                <w:sz w:val="24"/>
              </w:rPr>
            </w:pPr>
            <w:r>
              <w:rPr>
                <w:sz w:val="24"/>
              </w:rPr>
              <w:t>76-71</w:t>
            </w:r>
          </w:p>
        </w:tc>
        <w:tc>
          <w:tcPr>
            <w:tcW w:w="2309" w:type="dxa"/>
          </w:tcPr>
          <w:p>
            <w:pPr>
              <w:pStyle w:val="TableParagraph"/>
              <w:ind w:left="807"/>
              <w:rPr>
                <w:sz w:val="24"/>
              </w:rPr>
            </w:pPr>
            <w:r>
              <w:rPr>
                <w:sz w:val="24"/>
              </w:rPr>
              <w:t>C-</w:t>
            </w:r>
          </w:p>
        </w:tc>
        <w:tc>
          <w:tcPr>
            <w:tcW w:w="2105" w:type="dxa"/>
          </w:tcPr>
          <w:p>
            <w:pPr>
              <w:pStyle w:val="TableParagraph"/>
              <w:ind w:left="806" w:right="32"/>
              <w:rPr>
                <w:sz w:val="24"/>
              </w:rPr>
            </w:pPr>
            <w:r>
              <w:rPr>
                <w:sz w:val="24"/>
              </w:rPr>
              <w:t>70-69</w:t>
            </w:r>
          </w:p>
        </w:tc>
      </w:tr>
      <w:tr>
        <w:trPr>
          <w:trHeight w:val="314" w:hRule="atLeast"/>
        </w:trPr>
        <w:tc>
          <w:tcPr>
            <w:tcW w:w="1531" w:type="dxa"/>
          </w:tcPr>
          <w:p>
            <w:pPr>
              <w:pStyle w:val="TableParagraph"/>
              <w:ind w:left="31" w:right="806"/>
              <w:rPr>
                <w:sz w:val="24"/>
              </w:rPr>
            </w:pPr>
            <w:r>
              <w:rPr>
                <w:sz w:val="24"/>
              </w:rPr>
              <w:t>D+</w:t>
            </w:r>
          </w:p>
        </w:tc>
        <w:tc>
          <w:tcPr>
            <w:tcW w:w="2882" w:type="dxa"/>
          </w:tcPr>
          <w:p>
            <w:pPr>
              <w:pStyle w:val="TableParagraph"/>
              <w:ind w:left="808"/>
              <w:rPr>
                <w:sz w:val="24"/>
              </w:rPr>
            </w:pPr>
            <w:r>
              <w:rPr>
                <w:sz w:val="24"/>
              </w:rPr>
              <w:t>68-67</w:t>
            </w:r>
          </w:p>
        </w:tc>
        <w:tc>
          <w:tcPr>
            <w:tcW w:w="2309" w:type="dxa"/>
          </w:tcPr>
          <w:p>
            <w:pPr>
              <w:pStyle w:val="TableParagraph"/>
              <w:ind w:left="0" w:right="1"/>
              <w:rPr>
                <w:sz w:val="24"/>
              </w:rPr>
            </w:pPr>
            <w:r>
              <w:rPr>
                <w:sz w:val="24"/>
              </w:rPr>
              <w:t>D</w:t>
            </w:r>
          </w:p>
        </w:tc>
        <w:tc>
          <w:tcPr>
            <w:tcW w:w="2105" w:type="dxa"/>
          </w:tcPr>
          <w:p>
            <w:pPr>
              <w:pStyle w:val="TableParagraph"/>
              <w:ind w:left="806" w:right="32"/>
              <w:rPr>
                <w:sz w:val="24"/>
              </w:rPr>
            </w:pPr>
            <w:r>
              <w:rPr>
                <w:sz w:val="24"/>
              </w:rPr>
              <w:t>66-60</w:t>
            </w:r>
          </w:p>
        </w:tc>
      </w:tr>
      <w:tr>
        <w:trPr>
          <w:trHeight w:val="290" w:hRule="atLeast"/>
        </w:trPr>
        <w:tc>
          <w:tcPr>
            <w:tcW w:w="1531" w:type="dxa"/>
          </w:tcPr>
          <w:p>
            <w:pPr>
              <w:pStyle w:val="TableParagraph"/>
              <w:spacing w:line="256" w:lineRule="exact"/>
              <w:ind w:left="0" w:right="775"/>
              <w:rPr>
                <w:sz w:val="24"/>
              </w:rPr>
            </w:pPr>
            <w:r>
              <w:rPr>
                <w:sz w:val="24"/>
              </w:rPr>
              <w:t>F</w:t>
            </w:r>
          </w:p>
        </w:tc>
        <w:tc>
          <w:tcPr>
            <w:tcW w:w="2882" w:type="dxa"/>
          </w:tcPr>
          <w:p>
            <w:pPr>
              <w:pStyle w:val="TableParagraph"/>
              <w:spacing w:line="256" w:lineRule="exact"/>
              <w:ind w:left="808"/>
              <w:rPr>
                <w:sz w:val="24"/>
              </w:rPr>
            </w:pPr>
            <w:r>
              <w:rPr>
                <w:sz w:val="24"/>
              </w:rPr>
              <w:t>59-0</w:t>
            </w:r>
          </w:p>
        </w:tc>
        <w:tc>
          <w:tcPr>
            <w:tcW w:w="2309" w:type="dxa"/>
          </w:tcPr>
          <w:p>
            <w:pPr>
              <w:pStyle w:val="TableParagraph"/>
              <w:spacing w:before="0"/>
              <w:ind w:left="0" w:right="0"/>
              <w:jc w:val="left"/>
              <w:rPr>
                <w:sz w:val="20"/>
              </w:rPr>
            </w:pPr>
          </w:p>
        </w:tc>
        <w:tc>
          <w:tcPr>
            <w:tcW w:w="2105" w:type="dxa"/>
          </w:tcPr>
          <w:p>
            <w:pPr>
              <w:pStyle w:val="TableParagraph"/>
              <w:spacing w:before="0"/>
              <w:ind w:left="0" w:right="0"/>
              <w:jc w:val="left"/>
              <w:rPr>
                <w:sz w:val="20"/>
              </w:rPr>
            </w:pPr>
          </w:p>
        </w:tc>
      </w:tr>
    </w:tbl>
    <w:p>
      <w:pPr>
        <w:pStyle w:val="BodyText"/>
        <w:spacing w:before="8"/>
        <w:rPr>
          <w:sz w:val="30"/>
        </w:rPr>
      </w:pPr>
    </w:p>
    <w:p>
      <w:pPr>
        <w:pStyle w:val="ListParagraph"/>
        <w:numPr>
          <w:ilvl w:val="0"/>
          <w:numId w:val="1"/>
        </w:numPr>
        <w:tabs>
          <w:tab w:pos="481" w:val="left" w:leader="none"/>
        </w:tabs>
        <w:spacing w:line="273" w:lineRule="auto" w:before="1" w:after="0"/>
        <w:ind w:left="120" w:right="102" w:firstLine="0"/>
        <w:jc w:val="both"/>
        <w:rPr>
          <w:sz w:val="24"/>
        </w:rPr>
      </w:pPr>
      <w:r>
        <w:rPr>
          <w:b/>
          <w:sz w:val="24"/>
        </w:rPr>
        <w:t>Case Studies/Clinical Correlates: </w:t>
      </w:r>
      <w:r>
        <w:rPr>
          <w:sz w:val="24"/>
        </w:rPr>
        <w:t>Related directly to the general biochemical principles being taught are intended to give "real-life" significance to the </w:t>
      </w:r>
      <w:r>
        <w:rPr>
          <w:i/>
          <w:sz w:val="24"/>
        </w:rPr>
        <w:t>biochemistry </w:t>
      </w:r>
      <w:r>
        <w:rPr>
          <w:sz w:val="24"/>
        </w:rPr>
        <w:t>experience and should be printed from the web</w:t>
      </w:r>
      <w:r>
        <w:rPr>
          <w:spacing w:val="-14"/>
          <w:sz w:val="24"/>
        </w:rPr>
        <w:t> </w:t>
      </w:r>
      <w:r>
        <w:rPr>
          <w:sz w:val="24"/>
        </w:rPr>
        <w:t>site.</w:t>
      </w:r>
    </w:p>
    <w:p>
      <w:pPr>
        <w:pStyle w:val="BodyText"/>
        <w:spacing w:before="6"/>
        <w:rPr>
          <w:sz w:val="23"/>
        </w:rPr>
      </w:pPr>
    </w:p>
    <w:p>
      <w:pPr>
        <w:pStyle w:val="ListParagraph"/>
        <w:numPr>
          <w:ilvl w:val="0"/>
          <w:numId w:val="1"/>
        </w:numPr>
        <w:tabs>
          <w:tab w:pos="504" w:val="left" w:leader="none"/>
        </w:tabs>
        <w:spacing w:line="273" w:lineRule="auto" w:before="0" w:after="0"/>
        <w:ind w:left="120" w:right="103" w:firstLine="0"/>
        <w:jc w:val="both"/>
        <w:rPr>
          <w:sz w:val="24"/>
        </w:rPr>
      </w:pPr>
      <w:r>
        <w:rPr>
          <w:b/>
          <w:sz w:val="24"/>
        </w:rPr>
        <w:t>Course Description: </w:t>
      </w:r>
      <w:r>
        <w:rPr>
          <w:sz w:val="24"/>
        </w:rPr>
        <w:t>The chemistry of amino acids and proteins; the chemistry and metabolism of carbohydrates and lipids; energetics in living systems. The course is taught with a medical emphasis and covers peptides, proteins, myoglobin/hemoglobin, enzymes, vitamins, catecholamines and metabolism, as well as, clinical correlates and case studies.</w:t>
      </w:r>
    </w:p>
    <w:p>
      <w:pPr>
        <w:pStyle w:val="BodyText"/>
        <w:spacing w:before="6"/>
        <w:rPr>
          <w:sz w:val="23"/>
        </w:rPr>
      </w:pPr>
    </w:p>
    <w:p>
      <w:pPr>
        <w:pStyle w:val="ListParagraph"/>
        <w:numPr>
          <w:ilvl w:val="0"/>
          <w:numId w:val="1"/>
        </w:numPr>
        <w:tabs>
          <w:tab w:pos="536" w:val="left" w:leader="none"/>
        </w:tabs>
        <w:spacing w:line="273" w:lineRule="auto" w:before="1" w:after="0"/>
        <w:ind w:left="120" w:right="102" w:firstLine="0"/>
        <w:jc w:val="both"/>
        <w:rPr>
          <w:sz w:val="24"/>
        </w:rPr>
      </w:pPr>
      <w:r>
        <w:rPr>
          <w:b/>
          <w:sz w:val="24"/>
        </w:rPr>
        <w:t>Academic Integrity Statement: </w:t>
      </w:r>
      <w:r>
        <w:rPr>
          <w:sz w:val="24"/>
        </w:rPr>
        <w:t>A university is a community of learners bonded together by the search for knowledge; the pursuit of personal, social, cultural, physical, and intellectual development; and the desire for the liberating effects of an advanced education. California State University, Dominguez Hills (CSUDH) has a culture--an academic culture--shared with other universities and colleges across the nation. Integral to that culture is a set of values such as academic freedom, dedication to teaching and learning, diversity, civility toward others, and academic integrity. Academic integrity is of central importance in the university community and involves committed allegiance to the values,</w:t>
      </w:r>
      <w:r>
        <w:rPr>
          <w:spacing w:val="19"/>
          <w:sz w:val="24"/>
        </w:rPr>
        <w:t> </w:t>
      </w:r>
      <w:r>
        <w:rPr>
          <w:sz w:val="24"/>
        </w:rPr>
        <w:t>the</w:t>
      </w:r>
      <w:r>
        <w:rPr>
          <w:spacing w:val="20"/>
          <w:sz w:val="24"/>
        </w:rPr>
        <w:t> </w:t>
      </w:r>
      <w:r>
        <w:rPr>
          <w:sz w:val="24"/>
        </w:rPr>
        <w:t>principles,</w:t>
      </w:r>
      <w:r>
        <w:rPr>
          <w:spacing w:val="19"/>
          <w:sz w:val="24"/>
        </w:rPr>
        <w:t> </w:t>
      </w:r>
      <w:r>
        <w:rPr>
          <w:sz w:val="24"/>
        </w:rPr>
        <w:t>and</w:t>
      </w:r>
      <w:r>
        <w:rPr>
          <w:spacing w:val="20"/>
          <w:sz w:val="24"/>
        </w:rPr>
        <w:t> </w:t>
      </w:r>
      <w:r>
        <w:rPr>
          <w:sz w:val="24"/>
        </w:rPr>
        <w:t>the</w:t>
      </w:r>
      <w:r>
        <w:rPr>
          <w:spacing w:val="20"/>
          <w:sz w:val="24"/>
        </w:rPr>
        <w:t> </w:t>
      </w:r>
      <w:r>
        <w:rPr>
          <w:sz w:val="24"/>
        </w:rPr>
        <w:t>code</w:t>
      </w:r>
      <w:r>
        <w:rPr>
          <w:spacing w:val="20"/>
          <w:sz w:val="24"/>
        </w:rPr>
        <w:t> </w:t>
      </w:r>
      <w:r>
        <w:rPr>
          <w:sz w:val="24"/>
        </w:rPr>
        <w:t>of</w:t>
      </w:r>
      <w:r>
        <w:rPr>
          <w:spacing w:val="20"/>
          <w:sz w:val="24"/>
        </w:rPr>
        <w:t> </w:t>
      </w:r>
      <w:r>
        <w:rPr>
          <w:sz w:val="24"/>
        </w:rPr>
        <w:t>behavior</w:t>
      </w:r>
      <w:r>
        <w:rPr>
          <w:spacing w:val="20"/>
          <w:sz w:val="24"/>
        </w:rPr>
        <w:t> </w:t>
      </w:r>
      <w:r>
        <w:rPr>
          <w:sz w:val="24"/>
        </w:rPr>
        <w:t>held</w:t>
      </w:r>
      <w:r>
        <w:rPr>
          <w:spacing w:val="20"/>
          <w:sz w:val="24"/>
        </w:rPr>
        <w:t> </w:t>
      </w:r>
      <w:r>
        <w:rPr>
          <w:sz w:val="24"/>
        </w:rPr>
        <w:t>to</w:t>
      </w:r>
      <w:r>
        <w:rPr>
          <w:spacing w:val="20"/>
          <w:sz w:val="24"/>
        </w:rPr>
        <w:t> </w:t>
      </w:r>
      <w:r>
        <w:rPr>
          <w:sz w:val="24"/>
        </w:rPr>
        <w:t>be</w:t>
      </w:r>
      <w:r>
        <w:rPr>
          <w:spacing w:val="20"/>
          <w:sz w:val="24"/>
        </w:rPr>
        <w:t> </w:t>
      </w:r>
      <w:r>
        <w:rPr>
          <w:sz w:val="24"/>
        </w:rPr>
        <w:t>central</w:t>
      </w:r>
      <w:r>
        <w:rPr>
          <w:spacing w:val="20"/>
          <w:sz w:val="24"/>
        </w:rPr>
        <w:t> </w:t>
      </w:r>
      <w:r>
        <w:rPr>
          <w:sz w:val="24"/>
        </w:rPr>
        <w:t>in</w:t>
      </w:r>
      <w:r>
        <w:rPr>
          <w:spacing w:val="20"/>
          <w:sz w:val="24"/>
        </w:rPr>
        <w:t> </w:t>
      </w:r>
      <w:r>
        <w:rPr>
          <w:sz w:val="24"/>
        </w:rPr>
        <w:t>that</w:t>
      </w:r>
      <w:r>
        <w:rPr>
          <w:spacing w:val="20"/>
          <w:sz w:val="24"/>
        </w:rPr>
        <w:t> </w:t>
      </w:r>
      <w:r>
        <w:rPr>
          <w:sz w:val="24"/>
        </w:rPr>
        <w:t>community.</w:t>
      </w:r>
      <w:r>
        <w:rPr>
          <w:spacing w:val="43"/>
          <w:sz w:val="24"/>
        </w:rPr>
        <w:t> </w:t>
      </w:r>
      <w:r>
        <w:rPr>
          <w:sz w:val="24"/>
        </w:rPr>
        <w:t>Integrity</w:t>
      </w:r>
      <w:r>
        <w:rPr>
          <w:spacing w:val="19"/>
          <w:sz w:val="24"/>
        </w:rPr>
        <w:t> </w:t>
      </w:r>
      <w:r>
        <w:rPr>
          <w:sz w:val="24"/>
        </w:rPr>
        <w:t>concerns</w:t>
      </w:r>
      <w:r>
        <w:rPr>
          <w:spacing w:val="20"/>
          <w:sz w:val="24"/>
        </w:rPr>
        <w:t> </w:t>
      </w:r>
      <w:r>
        <w:rPr>
          <w:sz w:val="24"/>
        </w:rPr>
        <w:t>honesty</w:t>
      </w:r>
      <w:r>
        <w:rPr>
          <w:spacing w:val="19"/>
          <w:sz w:val="24"/>
        </w:rPr>
        <w:t> </w:t>
      </w:r>
      <w:r>
        <w:rPr>
          <w:sz w:val="24"/>
        </w:rPr>
        <w:t>and</w:t>
      </w:r>
    </w:p>
    <w:p>
      <w:pPr>
        <w:spacing w:after="0" w:line="273" w:lineRule="auto"/>
        <w:jc w:val="both"/>
        <w:rPr>
          <w:sz w:val="24"/>
        </w:rPr>
        <w:sectPr>
          <w:pgSz w:w="12240" w:h="15840"/>
          <w:pgMar w:header="99" w:footer="60" w:top="420" w:bottom="260" w:left="200" w:right="220"/>
        </w:sectPr>
      </w:pPr>
    </w:p>
    <w:p>
      <w:pPr>
        <w:pStyle w:val="BodyText"/>
        <w:spacing w:before="80"/>
        <w:ind w:left="120"/>
      </w:pPr>
      <w:r>
        <w:rPr/>
        <w:t>implies being truthful, fair, and free from lies, fraud and deceit.</w:t>
      </w:r>
    </w:p>
    <w:p>
      <w:pPr>
        <w:pStyle w:val="BodyText"/>
        <w:spacing w:before="8"/>
        <w:rPr>
          <w:sz w:val="30"/>
        </w:rPr>
      </w:pPr>
    </w:p>
    <w:p>
      <w:pPr>
        <w:pStyle w:val="ListParagraph"/>
        <w:numPr>
          <w:ilvl w:val="0"/>
          <w:numId w:val="1"/>
        </w:numPr>
        <w:tabs>
          <w:tab w:pos="525" w:val="left" w:leader="none"/>
        </w:tabs>
        <w:spacing w:line="273" w:lineRule="auto" w:before="1" w:after="0"/>
        <w:ind w:left="119" w:right="107" w:firstLine="0"/>
        <w:jc w:val="both"/>
        <w:rPr>
          <w:sz w:val="24"/>
        </w:rPr>
      </w:pPr>
      <w:r>
        <w:rPr>
          <w:b/>
          <w:sz w:val="24"/>
        </w:rPr>
        <w:t>Disabled Student Services</w:t>
      </w:r>
      <w:r>
        <w:rPr>
          <w:sz w:val="24"/>
        </w:rPr>
        <w:t>: CSUDH adheres to the American with Disabilities Act with respect to providing reasonable accommodations for students with temporary or permanent disabilities. To receive accommodations, students with disabilities must register with Disabled Student Services. For more information, please contact their office in Welch Hall B250 at (310) 243-3660 or (310)</w:t>
      </w:r>
      <w:r>
        <w:rPr>
          <w:spacing w:val="-2"/>
          <w:sz w:val="24"/>
        </w:rPr>
        <w:t> </w:t>
      </w:r>
      <w:r>
        <w:rPr>
          <w:sz w:val="24"/>
        </w:rPr>
        <w:t>243-2028.</w:t>
      </w:r>
    </w:p>
    <w:p>
      <w:pPr>
        <w:pStyle w:val="BodyText"/>
        <w:spacing w:before="5"/>
        <w:rPr>
          <w:sz w:val="27"/>
        </w:rPr>
      </w:pPr>
    </w:p>
    <w:p>
      <w:pPr>
        <w:spacing w:before="1"/>
        <w:ind w:left="119" w:right="0" w:firstLine="0"/>
        <w:jc w:val="left"/>
        <w:rPr>
          <w:sz w:val="19"/>
        </w:rPr>
      </w:pPr>
      <w:r>
        <w:rPr>
          <w:sz w:val="24"/>
        </w:rPr>
        <w:t>© </w:t>
      </w:r>
      <w:r>
        <w:rPr>
          <w:sz w:val="19"/>
        </w:rPr>
        <w:t>Dr. Noel Sturm 2020</w:t>
      </w:r>
    </w:p>
    <w:p>
      <w:pPr>
        <w:pStyle w:val="BodyText"/>
        <w:rPr>
          <w:sz w:val="9"/>
        </w:rPr>
      </w:pPr>
      <w:r>
        <w:rPr/>
        <w:pict>
          <v:group style="position:absolute;margin-left:15.9999pt;margin-top:7.15083pt;width:579.75pt;height:1.5pt;mso-position-horizontal-relative:page;mso-position-vertical-relative:paragraph;z-index:-15725568;mso-wrap-distance-left:0;mso-wrap-distance-right:0" coordorigin="320,143" coordsize="11595,30">
            <v:shape style="position:absolute;left:320;top:143;width:11595;height:15" coordorigin="320,143" coordsize="11595,15" path="m11915,143l320,143,335,158,11900,158,11915,143xe" filled="true" fillcolor="#9a9a9a" stroked="false">
              <v:path arrowok="t"/>
              <v:fill type="solid"/>
            </v:shape>
            <v:shape style="position:absolute;left:320;top:158;width:11595;height:15" coordorigin="320,158" coordsize="11595,15" path="m11900,158l335,158,320,173,11915,173,11900,158xe" filled="true" fillcolor="#ededed" stroked="false">
              <v:path arrowok="t"/>
              <v:fill type="solid"/>
            </v:shape>
            <v:shape style="position:absolute;left:320;top:143;width:15;height:30" coordorigin="320,143" coordsize="15,30" path="m320,143l320,173,335,158,320,143xe" filled="true" fillcolor="#9a9a9a" stroked="false">
              <v:path arrowok="t"/>
              <v:fill type="solid"/>
            </v:shape>
            <v:shape style="position:absolute;left:11900;top:143;width:15;height:30" coordorigin="11900,143" coordsize="15,30" path="m11915,143l11900,158,11915,173,11915,143xe" filled="true" fillcolor="#ededed" stroked="false">
              <v:path arrowok="t"/>
              <v:fill type="solid"/>
            </v:shape>
            <w10:wrap type="topAndBottom"/>
          </v:group>
        </w:pict>
      </w:r>
    </w:p>
    <w:p>
      <w:pPr>
        <w:spacing w:line="261" w:lineRule="auto" w:before="148"/>
        <w:ind w:left="120" w:right="2" w:firstLine="0"/>
        <w:jc w:val="left"/>
        <w:rPr>
          <w:sz w:val="18"/>
        </w:rPr>
      </w:pPr>
      <w:r>
        <w:rPr>
          <w:sz w:val="18"/>
        </w:rPr>
        <w:t>Disclaimer: The views and opinions expressed on unofficial pages of California State University, Dominguez Hills faculty, staff or students are strictly those of the page authors. The content of these pages has not been reviewed or approved by California State University, Dominguez Hills.</w:t>
      </w:r>
    </w:p>
    <w:sectPr>
      <w:pgSz w:w="12240" w:h="15840"/>
      <w:pgMar w:header="99" w:footer="60" w:top="420" w:bottom="260" w:left="20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pt;margin-top:777.97998pt;width:336.75pt;height:12pt;mso-position-horizontal-relative:page;mso-position-vertical-relative:page;z-index:-15855616" type="#_x0000_t202" filled="false" stroked="false">
          <v:textbox inset="0,0,0,0">
            <w:txbxContent>
              <w:p>
                <w:pPr>
                  <w:spacing w:before="12"/>
                  <w:ind w:left="20" w:right="0" w:firstLine="0"/>
                  <w:jc w:val="left"/>
                  <w:rPr>
                    <w:sz w:val="18"/>
                  </w:rPr>
                </w:pPr>
                <w:hyperlink r:id="rId1">
                  <w:r>
                    <w:rPr>
                      <w:sz w:val="18"/>
                    </w:rPr>
                    <w:t>http://www2.csudh.edu/nsturm/CHE450/CHE450Policies_F_20.htm</w:t>
                  </w:r>
                </w:hyperlink>
                <w:r>
                  <w:rPr>
                    <w:sz w:val="18"/>
                  </w:rPr>
                  <w:t>[9/30/2020 3:31:30 PM]</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pt;margin-top:3.97998pt;width:113.5pt;height:12pt;mso-position-horizontal-relative:page;mso-position-vertical-relative:page;z-index:-15856128" type="#_x0000_t202" filled="false" stroked="false">
          <v:textbox inset="0,0,0,0">
            <w:txbxContent>
              <w:p>
                <w:pPr>
                  <w:spacing w:before="12"/>
                  <w:ind w:left="20" w:right="0" w:firstLine="0"/>
                  <w:jc w:val="left"/>
                  <w:rPr>
                    <w:sz w:val="18"/>
                  </w:rPr>
                </w:pPr>
                <w:r>
                  <w:rPr>
                    <w:sz w:val="18"/>
                  </w:rPr>
                  <w:t>CHE 450 Policies and Grading</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270"/>
        <w:jc w:val="left"/>
      </w:pPr>
      <w:rPr>
        <w:rFonts w:hint="default" w:ascii="Times New Roman" w:hAnsi="Times New Roman" w:eastAsia="Times New Roman" w:cs="Times New Roman"/>
        <w:w w:val="100"/>
        <w:sz w:val="24"/>
        <w:szCs w:val="24"/>
      </w:rPr>
    </w:lvl>
    <w:lvl w:ilvl="1">
      <w:start w:val="0"/>
      <w:numFmt w:val="bullet"/>
      <w:lvlText w:val="•"/>
      <w:lvlJc w:val="left"/>
      <w:pPr>
        <w:ind w:left="1290" w:hanging="270"/>
      </w:pPr>
      <w:rPr>
        <w:rFonts w:hint="default"/>
      </w:rPr>
    </w:lvl>
    <w:lvl w:ilvl="2">
      <w:start w:val="0"/>
      <w:numFmt w:val="bullet"/>
      <w:lvlText w:val="•"/>
      <w:lvlJc w:val="left"/>
      <w:pPr>
        <w:ind w:left="2460" w:hanging="270"/>
      </w:pPr>
      <w:rPr>
        <w:rFonts w:hint="default"/>
      </w:rPr>
    </w:lvl>
    <w:lvl w:ilvl="3">
      <w:start w:val="0"/>
      <w:numFmt w:val="bullet"/>
      <w:lvlText w:val="•"/>
      <w:lvlJc w:val="left"/>
      <w:pPr>
        <w:ind w:left="3630" w:hanging="270"/>
      </w:pPr>
      <w:rPr>
        <w:rFonts w:hint="default"/>
      </w:rPr>
    </w:lvl>
    <w:lvl w:ilvl="4">
      <w:start w:val="0"/>
      <w:numFmt w:val="bullet"/>
      <w:lvlText w:val="•"/>
      <w:lvlJc w:val="left"/>
      <w:pPr>
        <w:ind w:left="4800" w:hanging="270"/>
      </w:pPr>
      <w:rPr>
        <w:rFonts w:hint="default"/>
      </w:rPr>
    </w:lvl>
    <w:lvl w:ilvl="5">
      <w:start w:val="0"/>
      <w:numFmt w:val="bullet"/>
      <w:lvlText w:val="•"/>
      <w:lvlJc w:val="left"/>
      <w:pPr>
        <w:ind w:left="5970" w:hanging="270"/>
      </w:pPr>
      <w:rPr>
        <w:rFonts w:hint="default"/>
      </w:rPr>
    </w:lvl>
    <w:lvl w:ilvl="6">
      <w:start w:val="0"/>
      <w:numFmt w:val="bullet"/>
      <w:lvlText w:val="•"/>
      <w:lvlJc w:val="left"/>
      <w:pPr>
        <w:ind w:left="7140" w:hanging="270"/>
      </w:pPr>
      <w:rPr>
        <w:rFonts w:hint="default"/>
      </w:rPr>
    </w:lvl>
    <w:lvl w:ilvl="7">
      <w:start w:val="0"/>
      <w:numFmt w:val="bullet"/>
      <w:lvlText w:val="•"/>
      <w:lvlJc w:val="left"/>
      <w:pPr>
        <w:ind w:left="8310" w:hanging="270"/>
      </w:pPr>
      <w:rPr>
        <w:rFonts w:hint="default"/>
      </w:rPr>
    </w:lvl>
    <w:lvl w:ilvl="8">
      <w:start w:val="0"/>
      <w:numFmt w:val="bullet"/>
      <w:lvlText w:val="•"/>
      <w:lvlJc w:val="left"/>
      <w:pPr>
        <w:ind w:left="9480" w:hanging="27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rPr>
  </w:style>
  <w:style w:styleId="Title" w:type="paragraph">
    <w:name w:val="Title"/>
    <w:basedOn w:val="Normal"/>
    <w:uiPriority w:val="1"/>
    <w:qFormat/>
    <w:pPr>
      <w:spacing w:before="192"/>
      <w:ind w:left="4317" w:right="4303"/>
      <w:jc w:val="center"/>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120"/>
      <w:jc w:val="both"/>
    </w:pPr>
    <w:rPr>
      <w:rFonts w:ascii="Times New Roman" w:hAnsi="Times New Roman" w:eastAsia="Times New Roman" w:cs="Times New Roman"/>
    </w:rPr>
  </w:style>
  <w:style w:styleId="TableParagraph" w:type="paragraph">
    <w:name w:val="Table Paragraph"/>
    <w:basedOn w:val="Normal"/>
    <w:uiPriority w:val="1"/>
    <w:qFormat/>
    <w:pPr>
      <w:spacing w:before="14"/>
      <w:ind w:left="30" w:right="808"/>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nsturm@csudh.edu" TargetMode="External"/><Relationship Id="rId8" Type="http://schemas.openxmlformats.org/officeDocument/2006/relationships/hyperlink" Target="https://www.chegg.com/" TargetMode="External"/><Relationship Id="rId9" Type="http://schemas.openxmlformats.org/officeDocument/2006/relationships/hyperlink" Target="https://store.macmillanlearning.com/us/product/Lehninger-Principles-of-Biochemistry/p/1464126119" TargetMode="External"/><Relationship Id="rId10" Type="http://schemas.openxmlformats.org/officeDocument/2006/relationships/hyperlink" Target="http://www2.csudh.edu/nsturm/" TargetMode="External"/><Relationship Id="rId11" Type="http://schemas.openxmlformats.org/officeDocument/2006/relationships/hyperlink" Target="https://help.blackboard.com/Collaborate/Ultra/Moderator/Get_Started/About_Collaborate" TargetMode="External"/><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2.csudh.edu/nsturm/CHE450/CHE450Policies_F_2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 450 Policies and Grading</dc:title>
  <dcterms:created xsi:type="dcterms:W3CDTF">2020-09-30T22:32:42Z</dcterms:created>
  <dcterms:modified xsi:type="dcterms:W3CDTF">2020-09-30T22:32:42Z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Google Chrome </vt:lpwstr>
  </property>
  <property fmtid="{D5CDD505-2E9C-101B-9397-08002B2CF9AE}" pid="4" name="LastSaved">
    <vt:filetime>2020-09-30T00:00:00Z</vt:filetime>
  </property>
</Properties>
</file>